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5C7DC8F4"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r w:rsidR="00E243B6" w:rsidRPr="00FF7E1A">
              <w:rPr>
                <w:bCs/>
                <w:sz w:val="24"/>
                <w:lang w:val="fr-FR"/>
              </w:rPr>
              <w:t xml:space="preserve"> </w:t>
            </w:r>
            <w:r w:rsidR="00E243B6" w:rsidRPr="00EC357F">
              <w:rPr>
                <w:rFonts w:cs="Arial"/>
                <w:b/>
                <w:bCs/>
                <w:sz w:val="24"/>
                <w:szCs w:val="24"/>
              </w:rPr>
              <w:t>(Runtime)</w:t>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CC3B94"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CC3B94"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FF7E1A"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FF7E1A"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 xml:space="preserve">Un OSE virtuel peut exploiter plusieurs </w:t>
      </w:r>
      <w:r w:rsidRPr="00136E3A">
        <w:rPr>
          <w:sz w:val="20"/>
          <w:lang w:val="fr-FR"/>
        </w:rPr>
        <w:lastRenderedPageBreak/>
        <w:t>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1"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113C2D42"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00CC3B94" w:rsidRPr="00011FBE">
        <w:rPr>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CC3B94" w:rsidRPr="00011FBE">
        <w:rPr>
          <w:sz w:val="20"/>
          <w:szCs w:val="20"/>
          <w:lang w:val="fr-FR"/>
        </w:rPr>
        <w:t xml:space="preserve"> </w:t>
      </w:r>
      <w:r w:rsidR="00CC3B94" w:rsidRPr="00011FBE">
        <w:rPr>
          <w:sz w:val="20"/>
          <w:szCs w:val="20"/>
          <w:lang w:val="fr-FR" w:eastAsia="x-none"/>
        </w:rPr>
        <w:t>Vous ne pouvez utiliser les logiciels supplémentaires que directement avec le logiciel serveur, ou indirectement via d’autres logiciels supplémentaires</w:t>
      </w:r>
      <w:r w:rsidR="00CC3B94" w:rsidRPr="00011FBE">
        <w:rPr>
          <w:sz w:val="20"/>
          <w:szCs w:val="20"/>
          <w:lang w:val="fr-FR"/>
        </w:rPr>
        <w:t>.</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145A82F6" w14:textId="27B647EF" w:rsidR="00E243B6" w:rsidRPr="00CC3B94" w:rsidRDefault="00E243B6" w:rsidP="00E243B6">
      <w:pPr>
        <w:pStyle w:val="Heading2"/>
        <w:widowControl w:val="0"/>
        <w:numPr>
          <w:ilvl w:val="0"/>
          <w:numId w:val="0"/>
        </w:numPr>
        <w:ind w:left="1080" w:hanging="720"/>
        <w:rPr>
          <w:sz w:val="20"/>
          <w:szCs w:val="20"/>
          <w:lang w:val="fr-FR"/>
        </w:rPr>
      </w:pPr>
      <w:r w:rsidRPr="00E243B6">
        <w:rPr>
          <w:sz w:val="20"/>
          <w:szCs w:val="20"/>
          <w:lang w:val="fr-FR" w:eastAsia="x-none"/>
        </w:rPr>
        <w:t>3.1</w:t>
      </w:r>
      <w:r w:rsidRPr="00E243B6">
        <w:rPr>
          <w:sz w:val="20"/>
          <w:szCs w:val="20"/>
          <w:lang w:val="fr-FR" w:eastAsia="x-none"/>
        </w:rPr>
        <w:tab/>
        <w:t>Logiciel ne pouvant être utilisé qu’à des fins d’exécution.</w:t>
      </w:r>
      <w:r w:rsidRPr="00E243B6">
        <w:rPr>
          <w:sz w:val="20"/>
          <w:szCs w:val="20"/>
          <w:lang w:val="fr-FR"/>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CC3B94">
        <w:rPr>
          <w:b w:val="0"/>
          <w:sz w:val="20"/>
          <w:szCs w:val="20"/>
          <w:lang w:val="fr-FR" w:eastAsia="x-none"/>
        </w:rPr>
        <w:t>Toutefois, cette disposition ne vous empêche pas d’utiliser un outil pour générer des requêtes ou des rapports à partir de tables existantes.</w:t>
      </w:r>
    </w:p>
    <w:p w14:paraId="38EF4A32" w14:textId="64168BFE"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w:t>
      </w:r>
      <w:r w:rsidR="00E243B6">
        <w:rPr>
          <w:sz w:val="20"/>
          <w:szCs w:val="20"/>
          <w:lang w:val="fr-FR"/>
        </w:rPr>
        <w:t>2</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50058908"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w:t>
      </w:r>
      <w:r w:rsidR="00E243B6">
        <w:rPr>
          <w:rFonts w:eastAsia="SimSun"/>
          <w:sz w:val="20"/>
          <w:szCs w:val="20"/>
          <w:lang w:val="fr-FR"/>
        </w:rPr>
        <w:t>3</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F66D81C"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w:t>
      </w:r>
      <w:r w:rsidR="00E243B6">
        <w:rPr>
          <w:rFonts w:eastAsia="SimSun"/>
          <w:sz w:val="20"/>
          <w:szCs w:val="20"/>
          <w:lang w:val="fr-FR"/>
        </w:rPr>
        <w:t>4</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277DB311"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w:t>
      </w:r>
      <w:r w:rsidR="00E243B6">
        <w:rPr>
          <w:rFonts w:eastAsia="SimSun"/>
          <w:sz w:val="20"/>
          <w:szCs w:val="20"/>
          <w:lang w:val="fr-FR"/>
        </w:rPr>
        <w:t>5</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1C4B679F" w:rsidR="00113DCC" w:rsidRPr="00557619" w:rsidRDefault="00113DCC" w:rsidP="0040667D">
      <w:pPr>
        <w:pStyle w:val="Heading2"/>
        <w:widowControl w:val="0"/>
        <w:numPr>
          <w:ilvl w:val="0"/>
          <w:numId w:val="0"/>
        </w:numPr>
        <w:ind w:left="1080" w:hanging="720"/>
        <w:rPr>
          <w:lang w:val="fr-FR"/>
        </w:rPr>
      </w:pPr>
      <w:r w:rsidRPr="00A443F1">
        <w:rPr>
          <w:sz w:val="20"/>
          <w:lang w:val="fr-FR"/>
        </w:rPr>
        <w:t>3.</w:t>
      </w:r>
      <w:r w:rsidR="00E243B6">
        <w:rPr>
          <w:sz w:val="20"/>
          <w:lang w:val="fr-FR"/>
        </w:rPr>
        <w:t>6</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13D30D70" w:rsidR="00113DCC" w:rsidRPr="00557619" w:rsidRDefault="00113DCC">
      <w:pPr>
        <w:pStyle w:val="Heading2"/>
        <w:widowControl w:val="0"/>
        <w:numPr>
          <w:ilvl w:val="0"/>
          <w:numId w:val="0"/>
        </w:numPr>
        <w:ind w:left="1080" w:hanging="720"/>
        <w:rPr>
          <w:lang w:val="fr-FR"/>
        </w:rPr>
      </w:pPr>
      <w:r w:rsidRPr="00557619">
        <w:rPr>
          <w:sz w:val="20"/>
          <w:lang w:val="fr-FR"/>
        </w:rPr>
        <w:t>3.</w:t>
      </w:r>
      <w:r w:rsidR="00E243B6">
        <w:rPr>
          <w:sz w:val="20"/>
          <w:lang w:val="fr-FR"/>
        </w:rPr>
        <w:t>7</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2"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4CA0F09A"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FF7E1A"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42283E52" w14:textId="77777777" w:rsidR="00FF7E1A" w:rsidRPr="00CC3B94" w:rsidRDefault="00FF7E1A" w:rsidP="00FF7E1A">
      <w:pPr>
        <w:pStyle w:val="Heading1"/>
        <w:widowControl w:val="0"/>
        <w:ind w:left="360" w:hanging="360"/>
        <w:rPr>
          <w:rFonts w:eastAsia="SimSun"/>
          <w:bCs w:val="0"/>
          <w:sz w:val="20"/>
          <w:szCs w:val="20"/>
          <w:lang w:val="fr-FR"/>
        </w:rPr>
      </w:pPr>
      <w:r>
        <w:rPr>
          <w:sz w:val="20"/>
          <w:szCs w:val="20"/>
          <w:lang w:val="fr-FR"/>
        </w:rPr>
        <w:t>POUR L’AUSTRALIE UNIQUEMENT.</w:t>
      </w:r>
      <w:r w:rsidRPr="00CC3B94">
        <w:rPr>
          <w:rFonts w:eastAsia="SimSun"/>
          <w:bCs w:val="0"/>
          <w:sz w:val="20"/>
          <w:szCs w:val="20"/>
          <w:lang w:val="fr-FR"/>
        </w:rPr>
        <w:t xml:space="preserve"> </w:t>
      </w:r>
      <w:r>
        <w:rPr>
          <w:sz w:val="20"/>
          <w:szCs w:val="20"/>
          <w:lang w:val="fr-FR"/>
        </w:rPr>
        <w:t>La « Garantie Limitée » fait référence à la garantie expresse accordée par Microsoft.</w:t>
      </w:r>
      <w:r w:rsidRPr="00CC3B94">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12161FA1" w14:textId="40904E04" w:rsidR="00FF7E1A" w:rsidRDefault="00FF7E1A" w:rsidP="00FF7E1A">
      <w:pPr>
        <w:pStyle w:val="Heading1"/>
        <w:widowControl w:val="0"/>
        <w:numPr>
          <w:ilvl w:val="0"/>
          <w:numId w:val="0"/>
        </w:numPr>
        <w:ind w:left="360"/>
        <w:rPr>
          <w:sz w:val="20"/>
          <w:szCs w:val="20"/>
          <w:lang w:val="fr-FR"/>
        </w:rPr>
      </w:pPr>
      <w:r>
        <w:rPr>
          <w:sz w:val="20"/>
          <w:szCs w:val="20"/>
          <w:lang w:val="fr-FR"/>
        </w:rPr>
        <w:t>Si la loi australienne sur la consommation s’applique à votre achat, ce qui suit vous concerne :</w:t>
      </w:r>
      <w:r w:rsidRPr="00CC3B94">
        <w:rPr>
          <w:rFonts w:eastAsia="SimSun"/>
          <w:sz w:val="20"/>
          <w:szCs w:val="20"/>
          <w:lang w:val="fr-FR"/>
        </w:rPr>
        <w:t xml:space="preserve"> </w:t>
      </w:r>
      <w:r>
        <w:rPr>
          <w:sz w:val="20"/>
          <w:szCs w:val="20"/>
          <w:lang w:val="fr-FR"/>
        </w:rPr>
        <w:t>nos biens sont accompagnés de garanties ne pouvant être exclues en vertu de la loi australienne sur la consommation.</w:t>
      </w:r>
      <w:r w:rsidRPr="00CC3B94">
        <w:rPr>
          <w:rFonts w:eastAsia="SimSun"/>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CC3B94">
        <w:rPr>
          <w:rFonts w:eastAsia="SimSun"/>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r w:rsidR="009D23E5">
        <w:rPr>
          <w:sz w:val="20"/>
          <w:szCs w:val="20"/>
          <w:lang w:val="fr-FR"/>
        </w:rPr>
        <w:t>.</w:t>
      </w:r>
    </w:p>
    <w:p w14:paraId="31770CD8" w14:textId="77777777" w:rsidR="00CC3B94" w:rsidRPr="00FA5DDD" w:rsidRDefault="00CC3B94" w:rsidP="00CC3B94">
      <w:pPr>
        <w:jc w:val="both"/>
        <w:rPr>
          <w:lang w:val="fr-FR"/>
        </w:rPr>
      </w:pPr>
      <w:r w:rsidRPr="00FA5DDD">
        <w:rPr>
          <w:lang w:val="fr-FR"/>
        </w:rPr>
        <w:t>Microsoft et SQL Server sont des marques déposées de Microsoft Corporation, aux États-Unis d’Amérique et/ou dans d’autres pays.</w:t>
      </w:r>
    </w:p>
    <w:sectPr w:rsidR="00CC3B94" w:rsidRPr="00FA5DDD" w:rsidSect="008746C6">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64A36" w14:textId="77777777" w:rsidR="00870219" w:rsidRDefault="00870219">
      <w:pPr>
        <w:spacing w:before="0" w:after="0"/>
      </w:pPr>
      <w:r>
        <w:separator/>
      </w:r>
    </w:p>
    <w:p w14:paraId="0669CAC5" w14:textId="77777777" w:rsidR="00870219" w:rsidRDefault="00870219"/>
  </w:endnote>
  <w:endnote w:type="continuationSeparator" w:id="0">
    <w:p w14:paraId="156BF96C" w14:textId="77777777" w:rsidR="00870219" w:rsidRDefault="00870219">
      <w:pPr>
        <w:spacing w:before="0" w:after="0"/>
      </w:pPr>
      <w:r>
        <w:continuationSeparator/>
      </w:r>
    </w:p>
    <w:p w14:paraId="6A4C6D5D" w14:textId="77777777" w:rsidR="00870219" w:rsidRDefault="00870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F4A66" w14:textId="77777777" w:rsidR="00113DCC" w:rsidRPr="006B249A" w:rsidRDefault="00113DCC">
    <w:pPr>
      <w:pStyle w:val="Footer"/>
      <w:rPr>
        <w:rStyle w:val="LogoportDoNotTranslate"/>
        <w:rFonts w:ascii="Tahoma" w:hAnsi="Tahoma" w:cs="Tahoma"/>
        <w:color w:val="000000"/>
      </w:rPr>
    </w:pPr>
    <w:r w:rsidRPr="006B249A">
      <w:rPr>
        <w:rStyle w:val="LogoportDoNotTranslate"/>
        <w:rFonts w:ascii="Tahoma" w:hAnsi="Tahoma" w:cs="Tahoma"/>
        <w:color w:val="000000"/>
      </w:rPr>
      <w:t>ISV Royalty Agreement EULA (April 1, 2012)</w:t>
    </w:r>
    <w:r w:rsidRPr="006B249A">
      <w:rPr>
        <w:rStyle w:val="LogoportDoNotTranslate"/>
        <w:rFonts w:ascii="Tahoma" w:hAnsi="Tahoma" w:cs="Tahoma"/>
        <w:color w:val="000000"/>
      </w:rPr>
      <w:tab/>
    </w:r>
    <w:r w:rsidRPr="006B249A">
      <w:rPr>
        <w:rStyle w:val="LogoportDoNotTranslate"/>
        <w:rFonts w:ascii="Tahoma" w:hAnsi="Tahoma" w:cs="Tahoma"/>
        <w:color w:val="000000"/>
      </w:rPr>
      <w:tab/>
      <w:t xml:space="preserve">Page </w:t>
    </w:r>
    <w:r w:rsidR="00CB44CA" w:rsidRPr="006B249A">
      <w:rPr>
        <w:rStyle w:val="LogoportDoNotTranslate"/>
        <w:rFonts w:ascii="Tahoma" w:hAnsi="Tahoma" w:cs="Tahoma"/>
        <w:color w:val="000000"/>
      </w:rPr>
      <w:fldChar w:fldCharType="begin"/>
    </w:r>
    <w:r w:rsidRPr="006B249A">
      <w:rPr>
        <w:rStyle w:val="LogoportDoNotTranslate"/>
        <w:rFonts w:ascii="Tahoma" w:hAnsi="Tahoma" w:cs="Tahoma"/>
        <w:color w:val="000000"/>
      </w:rPr>
      <w:instrText xml:space="preserve"> PAGE </w:instrText>
    </w:r>
    <w:r w:rsidR="00CB44CA" w:rsidRPr="006B249A">
      <w:rPr>
        <w:rStyle w:val="LogoportDoNotTranslate"/>
        <w:rFonts w:ascii="Tahoma" w:hAnsi="Tahoma" w:cs="Tahoma"/>
        <w:color w:val="000000"/>
      </w:rPr>
      <w:fldChar w:fldCharType="separate"/>
    </w:r>
    <w:r w:rsidR="00FA094C">
      <w:rPr>
        <w:rStyle w:val="LogoportDoNotTranslate"/>
        <w:rFonts w:ascii="Tahoma" w:hAnsi="Tahoma" w:cs="Tahoma"/>
        <w:noProof/>
        <w:color w:val="000000"/>
      </w:rPr>
      <w:t>2</w:t>
    </w:r>
    <w:r w:rsidR="00CB44CA" w:rsidRPr="006B249A">
      <w:rPr>
        <w:rStyle w:val="LogoportDoNotTranslate"/>
        <w:rFonts w:ascii="Tahoma" w:hAnsi="Tahoma" w:cs="Tahoma"/>
        <w:color w:val="000000"/>
      </w:rPr>
      <w:fldChar w:fldCharType="end"/>
    </w:r>
    <w:r w:rsidRPr="006B249A">
      <w:rPr>
        <w:rStyle w:val="LogoportDoNotTranslate"/>
        <w:rFonts w:ascii="Tahoma" w:hAnsi="Tahoma" w:cs="Tahoma"/>
        <w:color w:val="000000"/>
      </w:rPr>
      <w:t xml:space="preserve"> of </w:t>
    </w:r>
    <w:r w:rsidR="00CB44CA" w:rsidRPr="006B249A">
      <w:rPr>
        <w:rStyle w:val="LogoportDoNotTranslate"/>
        <w:rFonts w:ascii="Tahoma" w:hAnsi="Tahoma" w:cs="Tahoma"/>
        <w:color w:val="000000"/>
      </w:rPr>
      <w:fldChar w:fldCharType="begin"/>
    </w:r>
    <w:r w:rsidRPr="006B249A">
      <w:rPr>
        <w:rStyle w:val="LogoportDoNotTranslate"/>
        <w:rFonts w:ascii="Tahoma" w:hAnsi="Tahoma" w:cs="Tahoma"/>
        <w:color w:val="000000"/>
      </w:rPr>
      <w:instrText xml:space="preserve"> NUMPAGES </w:instrText>
    </w:r>
    <w:r w:rsidR="00CB44CA" w:rsidRPr="006B249A">
      <w:rPr>
        <w:rStyle w:val="LogoportDoNotTranslate"/>
        <w:rFonts w:ascii="Tahoma" w:hAnsi="Tahoma" w:cs="Tahoma"/>
        <w:color w:val="000000"/>
      </w:rPr>
      <w:fldChar w:fldCharType="separate"/>
    </w:r>
    <w:r w:rsidR="00FA094C">
      <w:rPr>
        <w:rStyle w:val="LogoportDoNotTranslate"/>
        <w:rFonts w:ascii="Tahoma" w:hAnsi="Tahoma" w:cs="Tahoma"/>
        <w:noProof/>
        <w:color w:val="000000"/>
      </w:rPr>
      <w:t>2</w:t>
    </w:r>
    <w:r w:rsidR="00CB44CA" w:rsidRPr="006B249A">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65FA7" w14:textId="77777777" w:rsidR="00870219" w:rsidRDefault="00870219">
      <w:pPr>
        <w:spacing w:before="0" w:after="0"/>
      </w:pPr>
      <w:r>
        <w:separator/>
      </w:r>
    </w:p>
  </w:footnote>
  <w:footnote w:type="continuationSeparator" w:id="0">
    <w:p w14:paraId="06218985" w14:textId="77777777" w:rsidR="00870219" w:rsidRDefault="00870219">
      <w:pPr>
        <w:spacing w:before="0" w:after="0"/>
      </w:pPr>
      <w:r>
        <w:continuationSeparator/>
      </w:r>
    </w:p>
  </w:footnote>
  <w:footnote w:type="continuationNotice" w:id="1">
    <w:p w14:paraId="16C452AA" w14:textId="77777777" w:rsidR="00870219" w:rsidRPr="00E457E5" w:rsidRDefault="00870219" w:rsidP="00E457E5">
      <w:pPr>
        <w:pStyle w:val="Footer"/>
      </w:pPr>
    </w:p>
  </w:footnote>
  <w:footnote w:id="2">
    <w:p w14:paraId="38EF4A67" w14:textId="206F527C"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486FDF">
        <w:rPr>
          <w:b/>
          <w:sz w:val="16"/>
          <w:szCs w:val="16"/>
          <w:vertAlign w:val="superscript"/>
          <w:lang w:val="fr-FR"/>
        </w:rPr>
        <w:t>®</w:t>
      </w:r>
      <w:r w:rsidRPr="00486FDF">
        <w:rPr>
          <w:b/>
          <w:sz w:val="16"/>
          <w:szCs w:val="16"/>
          <w:lang w:val="fr-FR"/>
        </w:rPr>
        <w:t xml:space="preserve"> SQL Server</w:t>
      </w:r>
      <w:r w:rsidR="00CC3B94" w:rsidRPr="00486FDF">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xSGCf9908txqX27Eh0egHSjlNI2xRcx3pLHbkRi48OOf2tmvp1qavSC+W88GCj6O/hSOwCe21xu8OxNg7smfNA==" w:salt="sI5MjEtVZxCCgmi8I24Qhg=="/>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6ADF"/>
    <w:rsid w:val="000D1020"/>
    <w:rsid w:val="000F1B14"/>
    <w:rsid w:val="00113DCC"/>
    <w:rsid w:val="00136E3A"/>
    <w:rsid w:val="001848CF"/>
    <w:rsid w:val="001D19DB"/>
    <w:rsid w:val="001D71BB"/>
    <w:rsid w:val="001E428B"/>
    <w:rsid w:val="001F278C"/>
    <w:rsid w:val="001F2CCB"/>
    <w:rsid w:val="002670E5"/>
    <w:rsid w:val="00281038"/>
    <w:rsid w:val="00295C64"/>
    <w:rsid w:val="002B38EB"/>
    <w:rsid w:val="00331ACD"/>
    <w:rsid w:val="00334CFF"/>
    <w:rsid w:val="00390DC3"/>
    <w:rsid w:val="003B4991"/>
    <w:rsid w:val="0040667D"/>
    <w:rsid w:val="00410EAA"/>
    <w:rsid w:val="00473EE5"/>
    <w:rsid w:val="00486FDF"/>
    <w:rsid w:val="004C3B50"/>
    <w:rsid w:val="004C449B"/>
    <w:rsid w:val="00557619"/>
    <w:rsid w:val="0062780C"/>
    <w:rsid w:val="006958E7"/>
    <w:rsid w:val="006B249A"/>
    <w:rsid w:val="006C5544"/>
    <w:rsid w:val="00776FA6"/>
    <w:rsid w:val="007A1351"/>
    <w:rsid w:val="0082377F"/>
    <w:rsid w:val="00870219"/>
    <w:rsid w:val="008703D8"/>
    <w:rsid w:val="008746C6"/>
    <w:rsid w:val="008808CE"/>
    <w:rsid w:val="008B6335"/>
    <w:rsid w:val="008F2EFC"/>
    <w:rsid w:val="00920D1C"/>
    <w:rsid w:val="00952A0E"/>
    <w:rsid w:val="00992790"/>
    <w:rsid w:val="009C4DAF"/>
    <w:rsid w:val="009D23E5"/>
    <w:rsid w:val="00A443F1"/>
    <w:rsid w:val="00A469FA"/>
    <w:rsid w:val="00A827CF"/>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3B94"/>
    <w:rsid w:val="00CC5F20"/>
    <w:rsid w:val="00D00180"/>
    <w:rsid w:val="00D07FBC"/>
    <w:rsid w:val="00D22DEE"/>
    <w:rsid w:val="00D25542"/>
    <w:rsid w:val="00D765F8"/>
    <w:rsid w:val="00D95BAD"/>
    <w:rsid w:val="00DA6A3C"/>
    <w:rsid w:val="00DB2743"/>
    <w:rsid w:val="00DC6A71"/>
    <w:rsid w:val="00E17BFA"/>
    <w:rsid w:val="00E243B6"/>
    <w:rsid w:val="00E26D24"/>
    <w:rsid w:val="00E457E5"/>
    <w:rsid w:val="00EA57A6"/>
    <w:rsid w:val="00EB7D17"/>
    <w:rsid w:val="00F22ED4"/>
    <w:rsid w:val="00F34D0E"/>
    <w:rsid w:val="00F435CB"/>
    <w:rsid w:val="00F80DC9"/>
    <w:rsid w:val="00F95EEA"/>
    <w:rsid w:val="00FA094C"/>
    <w:rsid w:val="00FF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CCB"/>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link w:val="Heading2"/>
    <w:uiPriority w:val="9"/>
    <w:rsid w:val="001D71BB"/>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uiPriority w:val="99"/>
    <w:locked/>
    <w:rsid w:val="001D71BB"/>
    <w:rPr>
      <w:rFonts w:ascii="Tahoma" w:eastAsia="MS Mincho" w:hAnsi="Tahoma" w:cs="Tahoma"/>
      <w:b/>
      <w:bCs/>
      <w:sz w:val="19"/>
      <w:szCs w:val="19"/>
    </w:rPr>
  </w:style>
  <w:style w:type="character" w:customStyle="1" w:styleId="Heading2Char">
    <w:name w:val="Heading 2 Char"/>
    <w:locked/>
    <w:rsid w:val="001D71BB"/>
    <w:rPr>
      <w:rFonts w:ascii="Tahoma" w:eastAsia="MS Mincho" w:hAnsi="Tahoma" w:cs="Tahoma"/>
      <w:b/>
      <w:bCs/>
      <w:sz w:val="19"/>
      <w:szCs w:val="19"/>
    </w:rPr>
  </w:style>
  <w:style w:type="character" w:customStyle="1" w:styleId="Heading3Char">
    <w:name w:val="Heading 3 Char"/>
    <w:locked/>
    <w:rsid w:val="001D71BB"/>
    <w:rPr>
      <w:rFonts w:ascii="Tahoma" w:eastAsia="MS Mincho" w:hAnsi="Tahoma" w:cs="Tahoma"/>
      <w:sz w:val="19"/>
      <w:szCs w:val="19"/>
    </w:rPr>
  </w:style>
  <w:style w:type="character" w:customStyle="1" w:styleId="Heading4Char">
    <w:name w:val="Heading 4 Char"/>
    <w:locked/>
    <w:rsid w:val="001D71BB"/>
    <w:rPr>
      <w:rFonts w:ascii="Tahoma" w:eastAsia="MS Mincho" w:hAnsi="Tahoma" w:cs="Tahoma"/>
      <w:sz w:val="19"/>
      <w:szCs w:val="19"/>
    </w:rPr>
  </w:style>
  <w:style w:type="character" w:customStyle="1" w:styleId="Heading5Char">
    <w:name w:val="Heading 5 Char"/>
    <w:locked/>
    <w:rsid w:val="001D71BB"/>
    <w:rPr>
      <w:rFonts w:ascii="Tahoma" w:eastAsia="MS Mincho" w:hAnsi="Tahoma" w:cs="Tahoma"/>
      <w:sz w:val="19"/>
      <w:szCs w:val="19"/>
    </w:rPr>
  </w:style>
  <w:style w:type="character" w:customStyle="1" w:styleId="Heading6Char">
    <w:name w:val="Heading 6 Char"/>
    <w:locked/>
    <w:rsid w:val="001D71BB"/>
    <w:rPr>
      <w:rFonts w:ascii="Tahoma" w:eastAsia="MS Mincho" w:hAnsi="Tahoma" w:cs="Tahoma"/>
      <w:sz w:val="19"/>
      <w:szCs w:val="19"/>
    </w:rPr>
  </w:style>
  <w:style w:type="character" w:customStyle="1" w:styleId="Heading7Char">
    <w:name w:val="Heading 7 Char"/>
    <w:locked/>
    <w:rsid w:val="001D71BB"/>
    <w:rPr>
      <w:rFonts w:ascii="Tahoma" w:eastAsia="MS Mincho" w:hAnsi="Tahoma" w:cs="Tahoma"/>
      <w:sz w:val="19"/>
      <w:szCs w:val="19"/>
    </w:rPr>
  </w:style>
  <w:style w:type="character" w:customStyle="1" w:styleId="Heading8Char">
    <w:name w:val="Heading 8 Char"/>
    <w:locked/>
    <w:rsid w:val="001D71BB"/>
    <w:rPr>
      <w:rFonts w:ascii="Tahoma" w:eastAsia="MS Mincho" w:hAnsi="Tahoma" w:cs="Tahoma"/>
      <w:sz w:val="19"/>
      <w:szCs w:val="19"/>
    </w:rPr>
  </w:style>
  <w:style w:type="character" w:customStyle="1" w:styleId="Heading9Char">
    <w:name w:val="Heading 9 Char"/>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locked/>
    <w:rsid w:val="001D71BB"/>
    <w:rPr>
      <w:rFonts w:ascii="Tahoma" w:eastAsia="MS Mincho" w:hAnsi="Tahoma" w:cs="Tahoma"/>
      <w:sz w:val="19"/>
      <w:szCs w:val="19"/>
    </w:rPr>
  </w:style>
  <w:style w:type="character" w:customStyle="1" w:styleId="Body1Char1">
    <w:name w:val="Body 1 Char1"/>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semiHidden/>
    <w:locked/>
    <w:rsid w:val="001D71BB"/>
    <w:rPr>
      <w:rFonts w:ascii="Tahoma" w:eastAsia="MS Mincho" w:hAnsi="Tahoma" w:cs="Tahoma"/>
      <w:sz w:val="16"/>
      <w:szCs w:val="16"/>
    </w:rPr>
  </w:style>
  <w:style w:type="character" w:styleId="CommentReference">
    <w:name w:val="annotation reference"/>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link w:val="CommentText"/>
    <w:uiPriority w:val="99"/>
    <w:semiHidden/>
    <w:rsid w:val="001D71BB"/>
    <w:rPr>
      <w:rFonts w:ascii="Tahoma" w:eastAsia="MS Mincho" w:hAnsi="Tahoma" w:cs="Tahoma"/>
      <w:lang w:val="en-US" w:eastAsia="en-US"/>
    </w:rPr>
  </w:style>
  <w:style w:type="character" w:customStyle="1" w:styleId="CommentTextChar">
    <w:name w:val="Comment Text Char"/>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link w:val="Header"/>
    <w:uiPriority w:val="99"/>
    <w:semiHidden/>
    <w:rsid w:val="001D71BB"/>
    <w:rPr>
      <w:rFonts w:ascii="Tahoma" w:eastAsia="MS Mincho" w:hAnsi="Tahoma" w:cs="Tahoma"/>
      <w:sz w:val="19"/>
      <w:szCs w:val="19"/>
      <w:lang w:val="en-US" w:eastAsia="en-US"/>
    </w:rPr>
  </w:style>
  <w:style w:type="character" w:customStyle="1" w:styleId="HeaderChar">
    <w:name w:val="Header Char"/>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link w:val="Footer"/>
    <w:uiPriority w:val="99"/>
    <w:semiHidden/>
    <w:rsid w:val="001D71BB"/>
    <w:rPr>
      <w:rFonts w:ascii="Tahoma" w:eastAsia="MS Mincho" w:hAnsi="Tahoma" w:cs="Tahoma"/>
      <w:sz w:val="19"/>
      <w:szCs w:val="19"/>
      <w:lang w:val="en-US" w:eastAsia="en-US"/>
    </w:rPr>
  </w:style>
  <w:style w:type="character" w:customStyle="1" w:styleId="FooterChar">
    <w:name w:val="Footer Char"/>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rsid w:val="001D71BB"/>
    <w:rPr>
      <w:rFonts w:ascii="Courier New" w:hAnsi="Courier New" w:cs="Courier New"/>
      <w:color w:val="FF0000"/>
      <w:sz w:val="18"/>
    </w:rPr>
  </w:style>
  <w:style w:type="character" w:customStyle="1" w:styleId="LogoportDoNotTranslate">
    <w:name w:val="LogoportDoNotTranslate"/>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link w:val="FootnoteText"/>
    <w:uiPriority w:val="99"/>
    <w:semiHidden/>
    <w:rsid w:val="00DA6A3C"/>
    <w:rPr>
      <w:rFonts w:ascii="Tahoma" w:eastAsia="MS Mincho" w:hAnsi="Tahoma" w:cs="Tahoma"/>
      <w:lang w:eastAsia="en-US" w:bidi="ar-SA"/>
    </w:rPr>
  </w:style>
  <w:style w:type="character" w:styleId="FootnoteReference">
    <w:name w:val="footnote reference"/>
    <w:uiPriority w:val="99"/>
    <w:semiHidden/>
    <w:unhideWhenUsed/>
    <w:rsid w:val="00DA6A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585948">
      <w:bodyDiv w:val="1"/>
      <w:marLeft w:val="0"/>
      <w:marRight w:val="0"/>
      <w:marTop w:val="0"/>
      <w:marBottom w:val="0"/>
      <w:divBdr>
        <w:top w:val="none" w:sz="0" w:space="0" w:color="auto"/>
        <w:left w:val="none" w:sz="0" w:space="0" w:color="auto"/>
        <w:bottom w:val="none" w:sz="0" w:space="0" w:color="auto"/>
        <w:right w:val="none" w:sz="0" w:space="0" w:color="auto"/>
      </w:divBdr>
    </w:div>
    <w:div w:id="38857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3C781-C4C2-4F01-A6E9-9740FEAC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3690</Words>
  <Characters>21037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24678</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